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14e5c9ee147fd" /><Relationship Type="http://schemas.openxmlformats.org/package/2006/relationships/metadata/core-properties" Target="/docProps/core.xml" Id="Ra5baedf80b254a1c" /><Relationship Type="http://schemas.openxmlformats.org/officeDocument/2006/relationships/extended-properties" Target="/docProps/app.xml" Id="R00a7e8619595430e" /><Relationship Type="http://schemas.openxmlformats.org/officeDocument/2006/relationships/custom-properties" Target="/docProps/custom.xml" Id="Rb58b0c2ecad34b87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14F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44"/>
        </w:rPr>
        <w:t xml:space="preserve">教師重視科學探究教學，學生更喜歡科學嗎？</w:t>
      </w:r>
    </w:p>
    <w:p w14:paraId="00100002" w14:textId="00100150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30"/>
        </w:rPr>
        <w:t xml:space="preserve">TIMSS 2023 臺灣四年級教師與學生資料分析</w:t>
      </w:r>
    </w:p>
    <w:p w14:paraId="00100004" w14:textId="00100151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都會區課程與教學議題研究　115 學年度第 1 學期</w:t>
      </w:r>
    </w:p>
    <w:p w14:paraId="00100006" w14:textId="00100152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教師用結果報告　2026 年 10 月 14 日</w:t>
      </w:r>
    </w:p>
    <w:p w14:paraId="001000FC" w14:textId="00100153">
      <w:pPr>
        <w:pStyle w:val="TOCHeading"/>
      </w:pPr>
      <w:r>
        <w:rPr>
          <w:rFonts w:eastAsia="Songti TC"/>
        </w:rPr>
        <w:t>目錄</w:t>
      </w:r>
    </w:p>
    <w:p w14:paraId="001000FE" w14:textId="001001D8">
      <w:pPr/>
      <w:r>
        <w:rPr>
          <w:rFonts w:eastAsia="Songti TC"/>
        </w:rPr>
        <w:fldChar w:fldCharType="begin" w:dirty="true"/>
      </w:r>
      <w:r>
        <w:rPr>
          <w:rFonts w:eastAsia="Songti TC"/>
        </w:rPr>
        <w:instrText xml:space="preserve"> TOC \o "1-1" \h \u \z </w:instrText>
      </w:r>
      <w:r>
        <w:rPr>
          <w:rFonts w:eastAsia="Songti TC"/>
        </w:rPr>
        <w:fldChar w:fldCharType="separate"/>
      </w:r>
      <w:r>
        <w:rPr>
          <w:rFonts w:eastAsia="Songti TC"/>
        </w:rPr>
        <w:t xml:space="preserve">摘要　研究問題與資料　變項與操作定義　連結、權重與估計方法　描述結果與基準核對　兩項主分析結果　敏感度與補充單題分析　資料完整性與補充描述　討論與限制　學生實作的驗收重點　資料與方法來源</w:t>
      </w:r>
      <w:r>
        <w:rPr>
          <w:rFonts w:eastAsia="Songti TC"/>
        </w:rPr>
        <w:fldChar w:fldCharType="end"/>
      </w:r>
    </w:p>
    <w:p w14:paraId="00100008" w14:textId="00100155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摘要</w:t>
      </w:r>
    </w:p>
    <w:p w14:paraId="0010000A" w14:textId="00100156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本研究使用 TIMSS 2023 臺灣四年級公開資料，探討教師回報的科學探究教學重視程度，與學生喜歡學科學及科學成就的關聯。教師五項回報形成自建平均指標，透過科學教師連結檔與學生資料配對，並採科學教師權重、每區兩個互補複製及五個合理值合併估計。調整性別及家庭學習資源後，指標與喜歡學科學呈正向關聯（b = 0.403，95% CI [0.090, 0.717]，Holm p = .024），與科學成就的正向估計則未達預設顯著水準（b = 7.230，95% CI [−0.238, 14.699]，Holm p = .058）。</w:t>
      </w:r>
    </w:p>
    <w:p w14:paraId="0010000C" w14:textId="00100157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研究問題與資料</w:t>
      </w:r>
    </w:p>
    <w:p w14:paraId="0010000E" w14:textId="00100158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本題將教師的教學重視程度與其授課學生的學習結果連結，讓學生練習跨主體及跨測量來源的分析。研究問題分別關注學生喜歡學科學的程度與科學成就，並比較納入背景條件前後的關聯。這是臺灣四年級整體樣本的橫斷關聯研究，本次沒有界定都會區子樣本，也沒有估計教學介入的因果效果。</w:t>
      </w:r>
    </w:p>
    <w:p w14:paraId="00100010" w14:textId="00100159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資料取自 TIMSS 2023 G4 官方公開資料庫的臺灣學生檔、教師檔與學生教師連結檔。原始學生檔有 5,308 位學生，教師檔有 515 個教師班級回報紀錄，連結檔有 10,646 筆紀錄。有效科學教師連結為 5,334 筆，涵蓋 5,308 位學生、238 個教師班級組合與 215 所學校，其中 26 位學生各對應兩位科學教師。</w:t>
      </w:r>
    </w:p>
    <w:p w14:paraId="00100012" w14:textId="0010015A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表 1　資料連結與主模型樣本</w:t>
      </w:r>
    </w:p>
    <w:tbl>
      <w:tblPr>
        <w:tblStyle w:val="none"/>
        <w:tblW w:w="9000" w:type="dxa"/>
        <w:jc w:val="left"/>
        <w:tblInd w:w="0" w:type="dxa"/>
        <w:tblBorders>
          <w:top w:val="single" w:color="000000" w:sz="8"/>
          <w:left w:val="none" w:sz="4"/>
          <w:bottom w:val="single" w:color="000000" w:sz="8"/>
          <w:right w:val="none" w:sz="4"/>
          <w:insideH w:val="none" w:sz="4"/>
          <w:insideV w:val="none" w:sz="4"/>
        </w:tblBorders>
        <w:tblLayout w:type="fixed"/>
        <w:tblLook w:val="04A0"/>
      </w:tblPr>
      <w:tblGrid>
        <w:gridCol w:w="3600"/>
        <w:gridCol w:w="1800"/>
        <w:gridCol w:w="1800"/>
        <w:gridCol w:w="1800"/>
      </w:tblGrid>
      <w:tr>
        <w:trPr>
          <w:cantSplit/>
          <w:tblHeader/>
        </w:trPr>
        <w:tc>
          <w:tcPr>
            <w:tcBorders>
              <w:bottom w:val="single" w:color="000000" w:sz="8"/>
            </w:tcBorders>
          </w:tcPr>
          <w:p w14:paraId="00100014" w14:textId="00100181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範圍</w:t>
            </w:r>
          </w:p>
        </w:tc>
        <w:tc>
          <w:tcPr>
            <w:tcBorders>
              <w:bottom w:val="single" w:color="000000" w:sz="8"/>
            </w:tcBorders>
          </w:tcPr>
          <w:p w14:paraId="00100016" w14:textId="00100182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學生數</w:t>
            </w:r>
          </w:p>
        </w:tc>
        <w:tc>
          <w:tcPr>
            <w:tcBorders>
              <w:bottom w:val="single" w:color="000000" w:sz="8"/>
            </w:tcBorders>
          </w:tcPr>
          <w:p w14:paraId="00100018" w14:textId="00100183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連結筆數</w:t>
            </w:r>
          </w:p>
        </w:tc>
        <w:tc>
          <w:tcPr>
            <w:tcBorders>
              <w:bottom w:val="single" w:color="000000" w:sz="8"/>
            </w:tcBorders>
          </w:tcPr>
          <w:p w14:paraId="0010001A" w14:textId="00100184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教師班級數</w:t>
            </w:r>
          </w:p>
        </w:tc>
      </w:tr>
      <w:tr>
        <w:trPr>
          <w:cantSplit/>
        </w:trPr>
        <w:tc>
          <w:p w14:paraId="0010001C" w14:textId="00100185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原始學生</w:t>
            </w:r>
          </w:p>
        </w:tc>
        <w:tc>
          <w:p w14:paraId="0010001E" w14:textId="00100186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5,308</w:t>
            </w:r>
          </w:p>
        </w:tc>
        <w:tc>
          <w:p w14:paraId="00100020" w14:textId="00100187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不適用</w:t>
            </w:r>
          </w:p>
        </w:tc>
        <w:tc>
          <w:p w14:paraId="00100022" w14:textId="00100188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不適用</w:t>
            </w:r>
          </w:p>
        </w:tc>
      </w:tr>
      <w:tr>
        <w:trPr>
          <w:cantSplit/>
        </w:trPr>
        <w:tc>
          <w:p w14:paraId="00100024" w14:textId="00100189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有效科學連結</w:t>
            </w:r>
          </w:p>
        </w:tc>
        <w:tc>
          <w:p w14:paraId="00100026" w14:textId="0010018A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5,308</w:t>
            </w:r>
          </w:p>
        </w:tc>
        <w:tc>
          <w:p w14:paraId="00100028" w14:textId="0010018B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5,334</w:t>
            </w:r>
          </w:p>
        </w:tc>
        <w:tc>
          <w:p w14:paraId="0010002A" w14:textId="0010018C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238</w:t>
            </w:r>
          </w:p>
        </w:tc>
      </w:tr>
      <w:tr>
        <w:trPr>
          <w:cantSplit/>
        </w:trPr>
        <w:tc>
          <w:p w14:paraId="0010002C" w14:textId="0010018D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興趣調整模型</w:t>
            </w:r>
          </w:p>
        </w:tc>
        <w:tc>
          <w:p w14:paraId="0010002E" w14:textId="0010018E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4,862</w:t>
            </w:r>
          </w:p>
        </w:tc>
        <w:tc>
          <w:p w14:paraId="00100030" w14:textId="0010018F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4,881</w:t>
            </w:r>
          </w:p>
        </w:tc>
        <w:tc>
          <w:p w14:paraId="00100032" w14:textId="00100190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225</w:t>
            </w:r>
          </w:p>
        </w:tc>
      </w:tr>
      <w:tr>
        <w:trPr>
          <w:cantSplit/>
        </w:trPr>
        <w:tc>
          <w:p w14:paraId="00100034" w14:textId="00100191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成就調整模型</w:t>
            </w:r>
          </w:p>
        </w:tc>
        <w:tc>
          <w:p w14:paraId="00100036" w14:textId="00100192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4,937</w:t>
            </w:r>
          </w:p>
        </w:tc>
        <w:tc>
          <w:p w14:paraId="00100038" w14:textId="00100193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4,956</w:t>
            </w:r>
          </w:p>
        </w:tc>
        <w:tc>
          <w:p w14:paraId="0010003A" w14:textId="00100194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226</w:t>
            </w:r>
          </w:p>
        </w:tc>
      </w:tr>
      <w:tr>
        <w:trPr>
          <w:cantSplit/>
        </w:trPr>
        <w:tc>
          <w:p w14:paraId="0010003C" w14:textId="00100195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兩結果共同樣本</w:t>
            </w:r>
          </w:p>
        </w:tc>
        <w:tc>
          <w:p w14:paraId="0010003E" w14:textId="00100196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4,862</w:t>
            </w:r>
          </w:p>
        </w:tc>
        <w:tc>
          <w:p w14:paraId="00100040" w14:textId="00100197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4,881</w:t>
            </w:r>
          </w:p>
        </w:tc>
        <w:tc>
          <w:p w14:paraId="00100042" w14:textId="00100198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225</w:t>
            </w:r>
          </w:p>
        </w:tc>
      </w:tr>
    </w:tbl>
    <w:p w14:paraId="00100044" w14:textId="001001CF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註：學生數為唯一學生，連結筆數可因多位教師而大於學生數。權重總和不是抽樣人數。</w:t>
      </w:r>
    </w:p>
    <w:p w14:paraId="00100046" w14:textId="0010015C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變項與操作定義</w:t>
      </w:r>
    </w:p>
    <w:p w14:paraId="00100048" w14:textId="0010015D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教師自變項為 ATBS03A–E，分別涉及提問、預測實驗結果、建立表徵、用科學概念解釋現象與進行實驗。原始作答為 1「非常重視」、2「有些重視」、3「不重視」，先轉換為 4 減原值，再於五題皆有效時取平均。這是本次自建的探究教學重視指標，理論範圍為 1 至 3，不是官方量尺，也不直接代表實際教學頻率或證據辯論。</w:t>
      </w:r>
    </w:p>
    <w:p w14:paraId="0010004A" w14:textId="0010015E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指標的實際範圍為 1.6 至 3，加權平均為 2.553，加權標準差為 0.353。226 個五題完整的教師班級紀錄，其未加權 Cronbach α 為 0.743，僅作內部一致性的描述資訊。此數值不能證明單一構念效度，且五題平均可能掩蓋不同教學實踐的差異。</w:t>
      </w:r>
    </w:p>
    <w:p w14:paraId="0010004C" w14:textId="0010015F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學生興趣以官方 ASBGSLS「喜歡學科學」量尺操作化，高分代表較喜歡學科學。科學成就使用 ASSSCI01 至 ASSSCI05 五個合理值，保留其測量不確定性並分別分析。控制變項為 ITSEX 的性別指標及 ASBGHRL 家庭學習資源量尺；本次沒有把其他態度或能力變項加入調整模型。</w:t>
      </w:r>
    </w:p>
    <w:p w14:paraId="0010004E" w14:textId="00100160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連結、權重與估計方法</w:t>
      </w:r>
    </w:p>
    <w:p w14:paraId="00100050" w14:textId="00100161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教師資料先以 IDCNTRY、IDTEACH、IDLINK 併入連結檔，再以 IDCNTRY、IDSTUD 併入學生檔。右側檔案唯一鍵通過檢查，兩次合併均保留原連結筆數。有效科學教師連結使用 SCIWGT，同一學生的科學連結權重總和與 TOTWGT 的最大絕對差約為 0.000001，符合多教師連結的權重分配，而非將每個連結視為新的獨立學生。</w:t>
      </w:r>
    </w:p>
    <w:p w14:paraId="00100052" w14:textId="00100162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依官方 Technical Report 第 13 章公式 13.1，每個 JKZONE 形成兩個互補複製。對其中一組將權重加倍、另一組設為零，其他區維持原權重，將各複製估計與完整估計的差異外積加總後乘以二分之一。臺灣資料有 109 個抽樣區，共 218 個複製；學生及教師連結的群聚依此複製設計反映於標準誤。</w:t>
      </w:r>
    </w:p>
    <w:p w14:paraId="00100054" w14:textId="00100163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科學成就對五個合理值各自估計完整模型及複製模型，係數以五次估計的平均合併。總變異數為五次抽樣變異數的平均，加上 1.2 倍的五次係數樣本變異數，符合官方合理值合併公式 13.2。信賴區間與雙尾檢定採官方近似常態慣例，兩項調整後主模型的指標檢定共同採 Holm 校正。</w:t>
      </w:r>
    </w:p>
    <w:p w14:paraId="00100056" w14:textId="00100164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未調整模型僅納入探究重視指標，調整模型另納入性別與家庭學習資源。各模型採所需變項完整案例，不以零或平均值填補遺漏；因此興趣與成就模型的學生數不同。另將兩結果共同完整的 4,862 位學生作為敏感度檢查，避免把分母不同誤認為結果差異。</w:t>
      </w:r>
    </w:p>
    <w:p w14:paraId="00100058" w14:textId="00100165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描述結果與基準核對</w:t>
      </w:r>
    </w:p>
    <w:p w14:paraId="0010005A" w14:textId="00100166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完整學生樣本使用 TOTWGT 及五個合理值，得到科學平均 572.607 分、標準誤 1.741。四捨五入的 573 分與官方公布的臺灣四年級科學平均一致。此核對支持合理值、權重及複製計算的實作，但不能替代教師資料連結與模型完整性的檢查。</w:t>
      </w:r>
    </w:p>
    <w:p w14:paraId="0010005C" w14:textId="00100167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依各題有效科學連結加權，教師非常重視實驗所對應的學生比例為 81.10%，提問為 69.17%，預測為 59.47%，概念解釋為 52.57%，表徵為 27.27%。這些比例描述的是學生所接觸的教師回報，不是臺灣教師母體比例。概念解釋的不重視類別僅占 0.76%，顯示單題分類模型可能受到稀疏類別限制。</w:t>
      </w:r>
    </w:p>
    <w:p w14:paraId="0010005E" w14:textId="00100168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表 2　教師非常重視各項實踐所對應的學生加權比例</w:t>
      </w:r>
    </w:p>
    <w:tbl>
      <w:tblPr>
        <w:tblStyle w:val="none"/>
        <w:tblW w:w="9000" w:type="dxa"/>
        <w:jc w:val="left"/>
        <w:tblInd w:w="0" w:type="dxa"/>
        <w:tblBorders>
          <w:top w:val="single" w:color="000000" w:sz="8"/>
          <w:left w:val="none" w:sz="4"/>
          <w:bottom w:val="single" w:color="000000" w:sz="8"/>
          <w:right w:val="none" w:sz="4"/>
          <w:insideH w:val="none" w:sz="4"/>
          <w:insideV w:val="none" w:sz="4"/>
        </w:tblBorders>
        <w:tblLayout w:type="fixed"/>
        <w:tblLook w:val="04A0"/>
      </w:tblPr>
      <w:tblGrid>
        <w:gridCol w:w="3600"/>
        <w:gridCol w:w="2700"/>
        <w:gridCol w:w="2700"/>
      </w:tblGrid>
      <w:tr>
        <w:trPr>
          <w:cantSplit/>
          <w:tblHeader/>
        </w:trPr>
        <w:tc>
          <w:tcPr>
            <w:tcBorders>
              <w:bottom w:val="single" w:color="000000" w:sz="8"/>
            </w:tcBorders>
          </w:tcPr>
          <w:p w14:paraId="00100060" w14:textId="00100199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題項</w:t>
            </w:r>
          </w:p>
        </w:tc>
        <w:tc>
          <w:tcPr>
            <w:tcBorders>
              <w:bottom w:val="single" w:color="000000" w:sz="8"/>
            </w:tcBorders>
          </w:tcPr>
          <w:p w14:paraId="00100062" w14:textId="0010019A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官方變項</w:t>
            </w:r>
          </w:p>
        </w:tc>
        <w:tc>
          <w:tcPr>
            <w:tcBorders>
              <w:bottom w:val="single" w:color="000000" w:sz="8"/>
            </w:tcBorders>
          </w:tcPr>
          <w:p w14:paraId="00100064" w14:textId="0010019B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非常重視百分比</w:t>
            </w:r>
          </w:p>
        </w:tc>
      </w:tr>
      <w:tr>
        <w:trPr>
          <w:cantSplit/>
        </w:trPr>
        <w:tc>
          <w:p w14:paraId="00100066" w14:textId="0010019C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提問</w:t>
            </w:r>
          </w:p>
        </w:tc>
        <w:tc>
          <w:p w14:paraId="00100068" w14:textId="0010019D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ATBS03A</w:t>
            </w:r>
          </w:p>
        </w:tc>
        <w:tc>
          <w:p w14:paraId="0010006A" w14:textId="0010019E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69.17</w:t>
            </w:r>
          </w:p>
        </w:tc>
      </w:tr>
      <w:tr>
        <w:trPr>
          <w:cantSplit/>
        </w:trPr>
        <w:tc>
          <w:p w14:paraId="0010006C" w14:textId="0010019F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預測</w:t>
            </w:r>
          </w:p>
        </w:tc>
        <w:tc>
          <w:p w14:paraId="0010006E" w14:textId="001001A0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ATBS03B</w:t>
            </w:r>
          </w:p>
        </w:tc>
        <w:tc>
          <w:p w14:paraId="00100070" w14:textId="001001A1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59.47</w:t>
            </w:r>
          </w:p>
        </w:tc>
      </w:tr>
      <w:tr>
        <w:trPr>
          <w:cantSplit/>
        </w:trPr>
        <w:tc>
          <w:p w14:paraId="00100072" w14:textId="001001A2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建立表徵</w:t>
            </w:r>
          </w:p>
        </w:tc>
        <w:tc>
          <w:p w14:paraId="00100074" w14:textId="001001A3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ATBS03C</w:t>
            </w:r>
          </w:p>
        </w:tc>
        <w:tc>
          <w:p w14:paraId="00100076" w14:textId="001001A4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27.27</w:t>
            </w:r>
          </w:p>
        </w:tc>
      </w:tr>
      <w:tr>
        <w:trPr>
          <w:cantSplit/>
        </w:trPr>
        <w:tc>
          <w:p w14:paraId="00100078" w14:textId="001001A5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概念解釋</w:t>
            </w:r>
          </w:p>
        </w:tc>
        <w:tc>
          <w:p w14:paraId="0010007A" w14:textId="001001A6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ATBS03D</w:t>
            </w:r>
          </w:p>
        </w:tc>
        <w:tc>
          <w:p w14:paraId="0010007C" w14:textId="001001A7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52.57</w:t>
            </w:r>
          </w:p>
        </w:tc>
      </w:tr>
      <w:tr>
        <w:trPr>
          <w:cantSplit/>
        </w:trPr>
        <w:tc>
          <w:p w14:paraId="0010007E" w14:textId="001001A8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實驗</w:t>
            </w:r>
          </w:p>
        </w:tc>
        <w:tc>
          <w:p w14:paraId="00100080" w14:textId="001001A9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ATBS03E</w:t>
            </w:r>
          </w:p>
        </w:tc>
        <w:tc>
          <w:p w14:paraId="00100082" w14:textId="001001AA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81.10</w:t>
            </w:r>
          </w:p>
        </w:tc>
      </w:tr>
    </w:tbl>
    <w:p w14:paraId="00100084" w14:textId="001001D0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註：學生數為唯一學生，連結筆數可因多位教師而大於學生數。權重總和不是抽樣人數。</w:t>
      </w:r>
    </w:p>
    <w:p w14:paraId="00100086" w14:textId="0010016A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兩項主分析結果</w:t>
      </w:r>
    </w:p>
    <w:p w14:paraId="00100088" w14:textId="0010016B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未調整模型中，自建探究重視指標與學生喜歡學科學呈正向關聯（b = 0.423，SE = 0.165，95% CI [0.100, 0.746]）。納入性別與家庭學習資源後，估計仍為正向（b = 0.403，SE = 0.160，95% CI [0.090, 0.717]，原始 p = .012，Holm p = .024）。調整後模型包含 4,862 位學生、4,881 筆連結及 225 個教師班級組合，結果支持在本次觀察資料中，較重視探究的教師所授課學生較喜歡學科學。</w:t>
      </w:r>
    </w:p>
    <w:p w14:paraId="0010008A" w14:textId="0010016C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科學成就的未調整估計為正向（b = 14.994，SE = 4.710，95% CI [5.763, 24.225]）。調整後係數降為 7.230，標準誤為 3.811，95% CI [−0.238, 14.699]，原始及 Holm p 均為 .058。此模型包含 4,937 位學生、4,956 筆連結及 226 個教師班級組合；資料與正向關聯相容，但區間也包含接近零的關聯，因此不能宣稱調整後成就關聯已獲明確支持。</w:t>
      </w:r>
    </w:p>
    <w:p w14:paraId="0010008C" w14:textId="0010016D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指標增加 1 分是較大的重視程度差距，不能把係數直接當成增加一個實驗活動的效果。以指標差距 0.2 分換算，調整後喜歡學科學的估計差異約為 0.081 分，科學成就約為 1.446 分。這個換算有助於理解量尺單位，並未增加因果識別或預測個別學生的能力。</w:t>
      </w:r>
    </w:p>
    <w:p w14:paraId="0010008E" w14:textId="0010016E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表 3　探究教學重視指標與兩項結果的關聯</w:t>
      </w:r>
    </w:p>
    <w:tbl>
      <w:tblPr>
        <w:tblStyle w:val="none"/>
        <w:tblW w:w="9000" w:type="dxa"/>
        <w:jc w:val="left"/>
        <w:tblInd w:w="0" w:type="dxa"/>
        <w:tblBorders>
          <w:top w:val="single" w:color="000000" w:sz="8"/>
          <w:left w:val="none" w:sz="4"/>
          <w:bottom w:val="single" w:color="000000" w:sz="8"/>
          <w:right w:val="none" w:sz="4"/>
          <w:insideH w:val="none" w:sz="4"/>
          <w:insideV w:val="none" w:sz="4"/>
        </w:tblBorders>
        <w:tblLayout w:type="fixed"/>
        <w:tblLook w:val="04A0"/>
      </w:tblPr>
      <w:tblGrid>
        <w:gridCol w:w="1050"/>
        <w:gridCol w:w="1150"/>
        <w:gridCol w:w="1100"/>
        <w:gridCol w:w="1100"/>
        <w:gridCol w:w="2500"/>
        <w:gridCol w:w="1050"/>
        <w:gridCol w:w="1050"/>
      </w:tblGrid>
      <w:tr>
        <w:trPr>
          <w:cantSplit/>
          <w:tblHeader/>
        </w:trPr>
        <w:tc>
          <w:tcPr>
            <w:tcBorders>
              <w:bottom w:val="single" w:color="000000" w:sz="8"/>
            </w:tcBorders>
          </w:tcPr>
          <w:p w14:paraId="00100090" w14:textId="001001AB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結果</w:t>
            </w:r>
          </w:p>
        </w:tc>
        <w:tc>
          <w:tcPr>
            <w:tcBorders>
              <w:bottom w:val="single" w:color="000000" w:sz="8"/>
            </w:tcBorders>
          </w:tcPr>
          <w:p w14:paraId="00100092" w14:textId="001001AC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模型</w:t>
            </w:r>
          </w:p>
        </w:tc>
        <w:tc>
          <w:tcPr>
            <w:tcBorders>
              <w:bottom w:val="single" w:color="000000" w:sz="8"/>
            </w:tcBorders>
          </w:tcPr>
          <w:p w14:paraId="00100094" w14:textId="001001AD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b</w:t>
            </w:r>
          </w:p>
        </w:tc>
        <w:tc>
          <w:tcPr>
            <w:tcBorders>
              <w:bottom w:val="single" w:color="000000" w:sz="8"/>
            </w:tcBorders>
          </w:tcPr>
          <w:p w14:paraId="00100096" w14:textId="001001AE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SE</w:t>
            </w:r>
          </w:p>
        </w:tc>
        <w:tc>
          <w:tcPr>
            <w:tcBorders>
              <w:bottom w:val="single" w:color="000000" w:sz="8"/>
            </w:tcBorders>
          </w:tcPr>
          <w:p w14:paraId="00100098" w14:textId="001001AF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95% CI</w:t>
            </w:r>
          </w:p>
        </w:tc>
        <w:tc>
          <w:tcPr>
            <w:tcBorders>
              <w:bottom w:val="single" w:color="000000" w:sz="8"/>
            </w:tcBorders>
          </w:tcPr>
          <w:p w14:paraId="0010009A" w14:textId="001001B0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p</w:t>
            </w:r>
          </w:p>
        </w:tc>
        <w:tc>
          <w:tcPr>
            <w:tcBorders>
              <w:bottom w:val="single" w:color="000000" w:sz="8"/>
            </w:tcBorders>
          </w:tcPr>
          <w:p w14:paraId="0010009C" w14:textId="001001B1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/>
                <w:sz w:val="20"/>
              </w:rPr>
              <w:t xml:space="preserve">Holm p</w:t>
            </w:r>
          </w:p>
        </w:tc>
      </w:tr>
      <w:tr>
        <w:trPr>
          <w:cantSplit/>
        </w:trPr>
        <w:tc>
          <w:p w14:paraId="0010009E" w14:textId="001001B2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興趣</w:t>
            </w:r>
          </w:p>
        </w:tc>
        <w:tc>
          <w:p w14:paraId="001000A0" w14:textId="001001B3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未調整</w:t>
            </w:r>
          </w:p>
        </w:tc>
        <w:tc>
          <w:p w14:paraId="001000A2" w14:textId="001001B4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0.423</w:t>
            </w:r>
          </w:p>
        </w:tc>
        <w:tc>
          <w:p w14:paraId="001000A4" w14:textId="001001B5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0.165</w:t>
            </w:r>
          </w:p>
        </w:tc>
        <w:tc>
          <w:p w14:paraId="001000A6" w14:textId="001001B6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[0.100, 0.746]</w:t>
            </w:r>
          </w:p>
        </w:tc>
        <w:tc>
          <w:p w14:paraId="001000A8" w14:textId="001001B7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0.010</w:t>
            </w:r>
          </w:p>
        </w:tc>
        <w:tc>
          <w:p w14:paraId="001000AA" w14:textId="001001B8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不適用</w:t>
            </w:r>
          </w:p>
        </w:tc>
      </w:tr>
      <w:tr>
        <w:trPr>
          <w:cantSplit/>
        </w:trPr>
        <w:tc>
          <w:p w14:paraId="001000AC" w14:textId="001001B9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興趣</w:t>
            </w:r>
          </w:p>
        </w:tc>
        <w:tc>
          <w:p w14:paraId="001000AE" w14:textId="001001BA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調整</w:t>
            </w:r>
          </w:p>
        </w:tc>
        <w:tc>
          <w:p w14:paraId="001000B0" w14:textId="001001BB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0.403</w:t>
            </w:r>
          </w:p>
        </w:tc>
        <w:tc>
          <w:p w14:paraId="001000B2" w14:textId="001001BC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0.160</w:t>
            </w:r>
          </w:p>
        </w:tc>
        <w:tc>
          <w:p w14:paraId="001000B4" w14:textId="001001BD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[0.090, 0.717]</w:t>
            </w:r>
          </w:p>
        </w:tc>
        <w:tc>
          <w:p w14:paraId="001000B6" w14:textId="001001BE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0.012</w:t>
            </w:r>
          </w:p>
        </w:tc>
        <w:tc>
          <w:p w14:paraId="001000B8" w14:textId="001001BF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0.024</w:t>
            </w:r>
          </w:p>
        </w:tc>
      </w:tr>
      <w:tr>
        <w:trPr>
          <w:cantSplit/>
        </w:trPr>
        <w:tc>
          <w:p w14:paraId="001000BA" w14:textId="001001C0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成就</w:t>
            </w:r>
          </w:p>
        </w:tc>
        <w:tc>
          <w:p w14:paraId="001000BC" w14:textId="001001C1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未調整</w:t>
            </w:r>
          </w:p>
        </w:tc>
        <w:tc>
          <w:p w14:paraId="001000BE" w14:textId="001001C2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14.994</w:t>
            </w:r>
          </w:p>
        </w:tc>
        <w:tc>
          <w:p w14:paraId="001000C0" w14:textId="001001C3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4.710</w:t>
            </w:r>
          </w:p>
        </w:tc>
        <w:tc>
          <w:p w14:paraId="001000C2" w14:textId="001001C4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[5.763, 24.225]</w:t>
            </w:r>
          </w:p>
        </w:tc>
        <w:tc>
          <w:p w14:paraId="001000C4" w14:textId="001001C5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0.001</w:t>
            </w:r>
          </w:p>
        </w:tc>
        <w:tc>
          <w:p w14:paraId="001000C6" w14:textId="001001C6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不適用</w:t>
            </w:r>
          </w:p>
        </w:tc>
      </w:tr>
      <w:tr>
        <w:trPr>
          <w:cantSplit/>
        </w:trPr>
        <w:tc>
          <w:p w14:paraId="001000C8" w14:textId="001001C7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成就</w:t>
            </w:r>
          </w:p>
        </w:tc>
        <w:tc>
          <w:p w14:paraId="001000CA" w14:textId="001001C8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調整</w:t>
            </w:r>
          </w:p>
        </w:tc>
        <w:tc>
          <w:p w14:paraId="001000CC" w14:textId="001001C9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7.230</w:t>
            </w:r>
          </w:p>
        </w:tc>
        <w:tc>
          <w:p w14:paraId="001000CE" w14:textId="001001CA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3.811</w:t>
            </w:r>
          </w:p>
        </w:tc>
        <w:tc>
          <w:p w14:paraId="001000D0" w14:textId="001001CB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[-0.238, 14.699]</w:t>
            </w:r>
          </w:p>
        </w:tc>
        <w:tc>
          <w:p w14:paraId="001000D2" w14:textId="001001CC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0.058</w:t>
            </w:r>
          </w:p>
        </w:tc>
        <w:tc>
          <w:p w14:paraId="001000D4" w14:textId="001001CD">
            <w:pPr>
              <w:spacing w:before="80" w:after="80" w:line="240" w:lineRule="auto"/>
              <w:ind w:left="0" w:firstLine="0"/>
              <w:jc w:val="left"/>
            </w:pPr>
            <w:r>
              <w:rPr>
                <w:rFonts w:ascii="Times New Roman" w:hAnsi="Times New Roman" w:eastAsia="Songti TC"/>
                <w:b w:val="false"/>
                <w:sz w:val="20"/>
              </w:rPr>
              <w:t xml:space="preserve">0.058</w:t>
            </w:r>
          </w:p>
        </w:tc>
      </w:tr>
    </w:tbl>
    <w:p w14:paraId="001000D6" w14:textId="001001D1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註：學生數為唯一學生，連結筆數可因多位教師而大於學生數。權重總和不是抽樣人數。</w:t>
      </w:r>
    </w:p>
    <w:p w14:paraId="001000D8" w14:textId="00100170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註：調整模型納入性別與家庭學習資源。主比較家族為兩個調整模型的探究重視係數；未調整模型不納入該家族。信賴區間為未作家族校正的 95% 區間，顯著性判定另依 Holm p。</w:t>
      </w:r>
    </w:p>
    <w:p w14:paraId="001000DA" w14:textId="00100171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敏感度與補充單題分析</w:t>
      </w:r>
    </w:p>
    <w:p w14:paraId="001000DC" w14:textId="00100172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兩個結果使用共同完整樣本時，喜歡學科學的調整係數與原主模型相同。科學成就的估計為 6.966（SE = 3.785，95% CI [−0.452, 14.384]，原始 p = .066），與原調整模型的解讀相近。共同樣本核對顯示，本次「興趣正向、成就不確定」的區分沒有因統一分母而翻轉。</w:t>
      </w:r>
    </w:p>
    <w:p w14:paraId="001000DE" w14:textId="00100173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補充分析把各單題作為分類變項，並保留各題實際出現的類別，不把理論上未出現的類別硬加入模型。提問、預測及實驗在有效資料中沒有不重視類別，因此分類模型以有些重視為參照；表徵則可使用不重視為參照。這些對比涵蓋不同樣本與不同參照組，只能作探索性補充，不能與五題平均係數直接比較。</w:t>
      </w:r>
    </w:p>
    <w:p w14:paraId="001000E0" w14:textId="00100174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概念解釋單題的不重視類別在某個複製樣本中消失，使三類分類模型的設計矩陣降秩。全樣本雖可求係數，但該模型無法完成分類對比的設計標準誤估計，因此興趣與成就的分類補充均不呈現推論，未以忽略遺漏係數或排除失敗複製的方法強行計算 p 值。其餘可完整估計的 10 個單題對比共同作探索性 Holm 校正，完整結果表另附於教材重現包。</w:t>
      </w:r>
    </w:p>
    <w:p w14:paraId="001001D2" w14:textId="001001D3">
      <w:pPr>
        <w:pStyle w:val="Heading1"/>
        <w:keepNext/>
        <w:spacing w:before="200" w:after="160" w:line="360" w:lineRule="auto"/>
        <w:ind w:left="0" w:firstLine="0"/>
      </w:pPr>
      <w:r>
        <w:rPr>
          <w:rFonts w:ascii="Times New Roman" w:hAnsi="Times New Roman" w:eastAsia="Songti TC"/>
          <w:b/>
          <w:color w:val="183E39"/>
          <w:sz w:val="36"/>
        </w:rPr>
        <w:t xml:space="preserve">資料完整性與補充描述</w:t>
      </w:r>
    </w:p>
    <w:p w14:paraId="001001D4" w14:textId="001001D5">
      <w:pPr>
        <w:pStyle w:val="Normal"/>
        <w:spacing w:before="0" w:after="160" w:line="360" w:lineRule="auto"/>
        <w:ind w:left="0" w:firstLine="0"/>
      </w:pPr>
      <w:r>
        <w:rPr>
          <w:rFonts w:ascii="Times New Roman" w:hAnsi="Times New Roman" w:eastAsia="Songti TC"/>
          <w:sz w:val="24"/>
        </w:rPr>
        <w:t xml:space="preserve">在各變項有效的科學教師連結中，喜歡學科學量尺的加權平均為 9.885，標準差為 2.167；家庭學習資源量尺的加權平均為 10.637，標準差為 1.571。兩者分別有 5,220 與 5,218 筆有效連結，這些筆數不能改稱獨立學生人數。各變項描述使用其有效資料，主迴歸則使用該模型全部所需變項的共同完整案例。</w:t>
      </w:r>
    </w:p>
    <w:p w14:paraId="001001D6" w14:textId="001001D7">
      <w:pPr>
        <w:pStyle w:val="Normal"/>
        <w:spacing w:before="0" w:after="160" w:line="360" w:lineRule="auto"/>
        <w:ind w:left="0" w:firstLine="0"/>
      </w:pPr>
      <w:r>
        <w:rPr>
          <w:rFonts w:ascii="Times New Roman" w:hAnsi="Times New Roman" w:eastAsia="Songti TC"/>
          <w:sz w:val="24"/>
        </w:rPr>
        <w:t xml:space="preserve">有效科學連結共 5,334 筆，其中自建探究指標缺失 264 筆（4.95%），喜歡學科學缺失 114 筆（2.14%），家庭學習資源缺失 116 筆（2.17%）。性別與五個科學合理值在這些連結中均無遺漏，教師各單題的缺失介於 218 至 242 筆。遺漏比例只描述本次分析資料完整性，不證明遺漏隨機，也不使完整案例估計自動具有母體無偏性。</w:t>
      </w:r>
    </w:p>
    <w:p w14:paraId="001000E2" w14:textId="00100175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討論與限制</w:t>
      </w:r>
    </w:p>
    <w:p w14:paraId="001000E4" w14:textId="00100176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本次結果顯示，教師回報的探究重視程度與學生喜歡學科學存在正向關聯，而科學成就的調整後關聯較不確定。未調整成就係數在加入背景條件後下降，提示背景差異對結果解讀的重要性，但不能據此辨識單一混淆機制。教學討論可關注提問、預測、表徵、概念解釋與實驗如何共同提供學習經驗，並保留不同實踐的效果可能不同這個問題。</w:t>
      </w:r>
    </w:p>
    <w:p w14:paraId="001000E6" w14:textId="00100177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首先，教師問卷測量重視程度，未必等同學生實際經歷的教學品質與頻率，且自陳可能受到社會期許影響。其次，喜歡學科學是本次興趣的操作定義，不能涵蓋所有科學動機；自建平均也沒有經過獨立構念驗證。再者，調查是橫斷資料，未觀察先前興趣與成就，學生特徵與教師實踐可能相互影響，納入兩項背景變項不能排除所有混淆。</w:t>
      </w:r>
    </w:p>
    <w:p w14:paraId="001000E8" w14:textId="00100178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完整案例分析可能使教師或學生未作答所造成的選擇偏誤殘留，權重與合理值處理不能自動修正這類遺漏偏誤。教師是代表性學生樣本的授課教師，並非獨立抽取的教師母體代表樣本，所以對教師人口的推廣需要限縮。結果也沒有針對都會與非都會分組，不能將整體臺灣關聯改寫為都市化差異的證據。</w:t>
      </w:r>
    </w:p>
    <w:p w14:paraId="001000EA" w14:textId="00100179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學生實作的驗收重點</w:t>
      </w:r>
    </w:p>
    <w:p w14:paraId="001000EC" w14:textId="0010017A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學生應優先核對來源年級、變項題意、兩次合併鍵、有效連結數及權重分配。之後再確認遺漏與反向計分、五個合理值各自估計、每區兩個複製及不同模型分母。最後回到兩個研究問題，區分估計方向、信賴區間與因果語言，並保留失敗分類模型的真實診斷。</w:t>
      </w:r>
    </w:p>
    <w:p w14:paraId="001000EE" w14:textId="0010017B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本次隔離錯誤示範將學校代碼當成合併鍵，使 10,646 筆原始連結膨脹為 27,212 筆。這個錯誤在統計模型執行之前就能從合併驗收發現，不必等到 p 值異常才處理。結果 HTML 另列常見症狀、診斷方式、修復提示詞與驗收條件，供學生練習向 Codex 提出可執行且可核對的指令。</w:t>
      </w:r>
    </w:p>
    <w:p w14:paraId="001000F0" w14:textId="0010017C">
      <w:pPr>
        <w:pStyle w:val="Heading1"/>
        <w:keepNext/>
        <w:spacing w:before="200" w:after="160" w:line="360" w:lineRule="auto"/>
        <w:ind w:left="0" w:firstLine="0"/>
        <w:jc w:val="left"/>
      </w:pPr>
      <w:r>
        <w:rPr>
          <w:rFonts w:ascii="Times New Roman" w:hAnsi="Times New Roman" w:eastAsia="Songti TC"/>
          <w:b/>
          <w:color w:val="183E39"/>
          <w:sz w:val="36"/>
        </w:rPr>
        <w:t xml:space="preserve">資料與方法來源</w:t>
      </w:r>
    </w:p>
    <w:p w14:paraId="001000F2" w14:textId="001001DA">
      <w:pPr>
        <w:pStyle w:val="Normal"/>
        <w:keepNext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變項、值標籤及資料檔定義依 TIMSS 2023 G4 Codebook，教師題意依官方國際版四年級教師問卷，中文為本教材翻譯。連結方法與科學教師權重依 TIMSS 2023 User Guide for the International Database 的資料結構與權重章節。標準誤與合理值合併依 TIMSS 2023 Technical Report 第 13 章，官方科學平均以 NCES TIMSS 2023 U.S. Results 的國際比較表交叉核對。</w:t>
      </w:r>
    </w:p>
    <w:p w14:paraId="001000F4" w14:textId="001001D9">
      <w:pPr>
        <w:pStyle w:val="Normal"/>
        <w:spacing w:before="0" w:after="160" w:line="360" w:lineRule="auto"/>
        <w:ind w:left="0" w:firstLine="0"/>
        <w:jc w:val="left"/>
      </w:pPr>
      <w:r>
        <w:rPr>
          <w:rFonts w:ascii="Times New Roman" w:hAnsi="Times New Roman" w:eastAsia="Songti TC"/>
          <w:sz w:val="24"/>
        </w:rPr>
        <w:t xml:space="preserve">官方資料與 codebook：https://timss2023.org/data/</w:t>
        <w:br/>
        <w:t xml:space="preserve">官方標準誤文件：https://timss2023.org/wp-content/uploads/2024/12/T23_TR_Chap13.pdf</w:t>
        <w:br/>
        <w:t xml:space="preserve">官方國際平均核對：https://nces.ed.gov/timss/results23/doc/TIMSS2023_compiled.pdf</w:t>
      </w:r>
    </w:p>
    <w:sectPr>
      <w:footerReference w:type="default" r:id="R046b5c1abcaa47c4"/>
      <w:pgSz w:w="11906" w:h="16838"/>
      <w:pgMar w:top="1361" w:right="1361" w:bottom="1361" w:left="1361"/>
      <w:docGrid w:type="default"/>
    </w:sectPr>
  </w:body>
</w:document>
</file>

<file path=word/footer1.xml><?xml version="1.0" encoding="utf-8"?>
<w:ftr xmlns:mc="http://schemas.openxmlformats.org/markup-compatibility/2006" xmlns:w14="http://schemas.microsoft.com/office/word/2010/wordml" xmlns:w="http://schemas.openxmlformats.org/wordprocessingml/2006/main" mc:Ignorable="w14">
  <w:p w14:paraId="001000FA" w14:textId="001000FB">
    <w:pPr/>
    <w:r>
      <w:rPr>
        <w:sz w:val="18"/>
      </w:rPr>
      <w:t xml:space="preserve">TIMSS 2023 G4　教師用報告　｜　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 xml:space="preserve">1</w:t>
    </w:r>
    <w:r>
      <w:rPr>
        <w:sz w:val="18"/>
      </w:rPr>
      <w:fldChar w:fldCharType="end"/>
    </w:r>
  </w:p>
</w:ft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updateField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TW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Songti TC" w:cs="Times New Roman"/>
        <w:sz w:val="24"/>
        <w:szCs w:val="24"/>
        <w:lang w:val="en-US" w:eastAsia="zh-TW"/>
      </w:rPr>
    </w:rPrDefault>
    <w:pPrDefault>
      <w:pPr>
        <w:spacing w:line="360" w:lineRule="auto"/>
      </w:pPr>
    </w:pPrDefault>
  </w:docDefaults>
  <w:style w:type="paragraph" w:styleId="Normal" w:default="true">
    <w:name w:val="Normal"/>
    <w:qFormat/>
    <w:pPr>
      <w:spacing w:after="0" w:line="259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/>
      <w:sz w:val="32"/>
      <w:szCs w:val="3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787563f56a642af" /><Relationship Type="http://schemas.openxmlformats.org/officeDocument/2006/relationships/styles" Target="/word/styles.xml" Id="R42a0ff63a3ae48a0" /><Relationship Type="http://schemas.openxmlformats.org/officeDocument/2006/relationships/theme" Target="/word/theme/theme1.xml" Id="Ra80ff88ff082454c" /><Relationship Type="http://schemas.openxmlformats.org/officeDocument/2006/relationships/numbering" Target="/word/numbering.xml" Id="Ra29ecdc12ca34a33" /><Relationship Type="http://schemas.openxmlformats.org/officeDocument/2006/relationships/footer" Target="/word/footer1.xml" Id="R046b5c1abcaa47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Songti TC"/>
        <a:cs typeface=""/>
      </a:majorFont>
      <a:minorFont>
        <a:latin typeface="Times New Roman"/>
        <a:ea typeface="Songti TC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OfficeCLI/1.0.157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/>
  <dcterms:created xsi:type="dcterms:W3CDTF">2026-10-14T04:36:38Z</dcterms:created>
  <cp:lastModifiedBy/>
  <dcterms:modified xsi:type="dcterms:W3CDTF">2026-10-14T04:36:38Z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1.0.157</vt:lpwstr>
  </op:property>
  <op:property fmtid="{D5CDD505-2E9C-101B-9397-08002B2CF9AE}" pid="3" name="OfficeCLI.LastModified">
    <vt:lpwstr xmlns:vt="http://schemas.openxmlformats.org/officeDocument/2006/docPropsVTypes">2026-10-14T05:02:16Z</vt:lpwstr>
  </op:property>
</op:Properties>
</file>